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mc:AlternateContent>
          <mc:Choice Requires="wps">
            <w:drawing>
              <wp:anchor behindDoc="0" distT="0" distB="0" distL="0" distR="0" simplePos="0" locked="0" layoutInCell="1" allowOverlap="1" relativeHeight="2">
                <wp:simplePos x="0" y="0"/>
                <wp:positionH relativeFrom="column">
                  <wp:posOffset>3909695</wp:posOffset>
                </wp:positionH>
                <wp:positionV relativeFrom="paragraph">
                  <wp:posOffset>20320</wp:posOffset>
                </wp:positionV>
                <wp:extent cx="2547620" cy="837565"/>
                <wp:effectExtent l="0" t="0" r="0" b="0"/>
                <wp:wrapSquare wrapText="bothSides"/>
                <wp:docPr id="1" name="Frame1"/>
                <a:graphic xmlns:a="http://schemas.openxmlformats.org/drawingml/2006/main">
                  <a:graphicData uri="http://schemas.microsoft.com/office/word/2010/wordprocessingShape">
                    <wps:wsp>
                      <wps:cNvSpPr/>
                      <wps:spPr>
                        <a:xfrm>
                          <a:off x="0" y="0"/>
                          <a:ext cx="2547000" cy="837000"/>
                        </a:xfrm>
                        <a:prstGeom prst="rect">
                          <a:avLst/>
                        </a:prstGeom>
                        <a:noFill/>
                        <a:ln w="720">
                          <a:solidFill>
                            <a:srgbClr val="000000"/>
                          </a:solidFill>
                          <a:round/>
                        </a:ln>
                      </wps:spPr>
                      <wps:style>
                        <a:lnRef idx="0"/>
                        <a:fillRef idx="0"/>
                        <a:effectRef idx="0"/>
                        <a:fontRef idx="minor"/>
                      </wps:style>
                      <wps:txbx>
                        <w:txbxContent>
                          <w:p>
                            <w:pPr>
                              <w:pStyle w:val="FrameContents"/>
                              <w:rPr>
                                <w:i/>
                                <w:i/>
                                <w:iCs/>
                                <w:sz w:val="18"/>
                                <w:szCs w:val="18"/>
                              </w:rPr>
                            </w:pPr>
                            <w:r>
                              <w:rPr>
                                <w:i/>
                                <w:iCs/>
                                <w:color w:val="00000A"/>
                                <w:sz w:val="18"/>
                                <w:szCs w:val="18"/>
                              </w:rPr>
                              <w:t>My Address</w:t>
                            </w:r>
                          </w:p>
                        </w:txbxContent>
                      </wps:txbx>
                      <wps:bodyPr lIns="54000" rIns="54000" tIns="54000" bIns="54000">
                        <a:noAutofit/>
                      </wps:bodyPr>
                    </wps:wsp>
                  </a:graphicData>
                </a:graphic>
              </wp:anchor>
            </w:drawing>
          </mc:Choice>
          <mc:Fallback>
            <w:pict>
              <v:rect id="shape_0" ID="Frame1" stroked="t" style="position:absolute;margin-left:307.85pt;margin-top:1.6pt;width:200.5pt;height:65.85pt">
                <w10:wrap type="square"/>
                <v:fill o:detectmouseclick="t" on="false"/>
                <v:stroke color="black" weight="720" joinstyle="round" endcap="flat"/>
                <v:textbox>
                  <w:txbxContent>
                    <w:p>
                      <w:pPr>
                        <w:pStyle w:val="FrameContents"/>
                        <w:rPr>
                          <w:i/>
                          <w:i/>
                          <w:iCs/>
                          <w:sz w:val="18"/>
                          <w:szCs w:val="18"/>
                        </w:rPr>
                      </w:pPr>
                      <w:r>
                        <w:rPr>
                          <w:i/>
                          <w:iCs/>
                          <w:color w:val="00000A"/>
                          <w:sz w:val="18"/>
                          <w:szCs w:val="18"/>
                        </w:rPr>
                        <w:t>My Address</w:t>
                      </w:r>
                    </w:p>
                  </w:txbxContent>
                </v:textbox>
              </v:rect>
            </w:pict>
          </mc:Fallback>
        </mc:AlternateContent>
        <mc:AlternateContent>
          <mc:Choice Requires="wps">
            <w:drawing>
              <wp:anchor behindDoc="0" distT="0" distB="0" distL="0" distR="0" simplePos="0" locked="0" layoutInCell="1" allowOverlap="1" relativeHeight="3">
                <wp:simplePos x="0" y="0"/>
                <wp:positionH relativeFrom="column">
                  <wp:posOffset>15240</wp:posOffset>
                </wp:positionH>
                <wp:positionV relativeFrom="paragraph">
                  <wp:posOffset>2540</wp:posOffset>
                </wp:positionV>
                <wp:extent cx="2421255" cy="1054735"/>
                <wp:effectExtent l="0" t="0" r="0" b="0"/>
                <wp:wrapNone/>
                <wp:docPr id="3" name="Shape1"/>
                <a:graphic xmlns:a="http://schemas.openxmlformats.org/drawingml/2006/main">
                  <a:graphicData uri="http://schemas.microsoft.com/office/word/2010/wordprocessingShape">
                    <wps:wsp>
                      <wps:cNvSpPr/>
                      <wps:spPr>
                        <a:xfrm>
                          <a:off x="0" y="0"/>
                          <a:ext cx="2420640" cy="1054080"/>
                        </a:xfrm>
                        <a:prstGeom prst="rect">
                          <a:avLst/>
                        </a:prstGeom>
                        <a:noFill/>
                        <a:ln>
                          <a:noFill/>
                        </a:ln>
                      </wps:spPr>
                      <wps:style>
                        <a:lnRef idx="0"/>
                        <a:fillRef idx="0"/>
                        <a:effectRef idx="0"/>
                        <a:fontRef idx="minor"/>
                      </wps:style>
                      <wps:txbx>
                        <w:txbxContent>
                          <w:p>
                            <w:pPr>
                              <w:pStyle w:val="FrameContents"/>
                              <w:overflowPunct w:val="false"/>
                              <w:bidi w:val="0"/>
                              <w:jc w:val="left"/>
                              <w:rPr>
                                <w:i/>
                                <w:i/>
                                <w:iCs/>
                                <w:color w:val="000000"/>
                                <w:sz w:val="20"/>
                                <w:szCs w:val="20"/>
                              </w:rPr>
                            </w:pPr>
                            <w:r>
                              <w:rPr>
                                <w:i/>
                                <w:iCs/>
                                <w:color w:val="000000"/>
                                <w:sz w:val="20"/>
                                <w:szCs w:val="20"/>
                              </w:rPr>
                            </w:r>
                          </w:p>
                          <w:p>
                            <w:pPr>
                              <w:pStyle w:val="FrameContents"/>
                              <w:overflowPunct w:val="false"/>
                              <w:bidi w:val="0"/>
                              <w:jc w:val="left"/>
                              <w:rPr>
                                <w:i/>
                                <w:i/>
                                <w:iCs/>
                                <w:color w:val="000000"/>
                                <w:sz w:val="20"/>
                                <w:szCs w:val="20"/>
                              </w:rPr>
                            </w:pPr>
                            <w:r>
                              <w:rPr>
                                <w:i/>
                                <w:iCs/>
                                <w:color w:val="000000"/>
                                <w:sz w:val="20"/>
                                <w:szCs w:val="20"/>
                              </w:rPr>
                            </w:r>
                          </w:p>
                          <w:p>
                            <w:pPr>
                              <w:pStyle w:val="FrameContents"/>
                              <w:overflowPunct w:val="false"/>
                              <w:bidi w:val="0"/>
                              <w:jc w:val="left"/>
                              <w:rPr>
                                <w:i/>
                                <w:i/>
                                <w:iCs/>
                                <w:color w:val="000000"/>
                                <w:sz w:val="20"/>
                                <w:szCs w:val="20"/>
                              </w:rPr>
                            </w:pPr>
                            <w:r>
                              <w:rPr>
                                <w:i/>
                                <w:iCs/>
                                <w:color w:val="000000"/>
                                <w:sz w:val="20"/>
                                <w:szCs w:val="20"/>
                              </w:rPr>
                            </w:r>
                          </w:p>
                          <w:p>
                            <w:pPr>
                              <w:pStyle w:val="FrameContents"/>
                              <w:overflowPunct w:val="false"/>
                              <w:bidi w:val="0"/>
                              <w:jc w:val="left"/>
                              <w:rPr>
                                <w:i/>
                                <w:i/>
                                <w:iCs/>
                                <w:color w:val="000000"/>
                                <w:sz w:val="20"/>
                                <w:szCs w:val="20"/>
                              </w:rPr>
                            </w:pPr>
                            <w:r>
                              <w:rPr>
                                <w:i/>
                                <w:iCs/>
                                <w:color w:val="000000"/>
                                <w:sz w:val="20"/>
                                <w:szCs w:val="20"/>
                              </w:rPr>
                            </w:r>
                          </w:p>
                          <w:p>
                            <w:pPr>
                              <w:pStyle w:val="FrameContents"/>
                              <w:overflowPunct w:val="false"/>
                              <w:bidi w:val="0"/>
                              <w:jc w:val="left"/>
                              <w:rPr>
                                <w:i/>
                                <w:i/>
                                <w:iCs/>
                                <w:color w:val="000000"/>
                                <w:sz w:val="20"/>
                                <w:szCs w:val="20"/>
                              </w:rPr>
                            </w:pPr>
                            <w:r>
                              <w:rPr>
                                <w:i/>
                                <w:iCs/>
                                <w:color w:val="000000"/>
                                <w:sz w:val="20"/>
                                <w:szCs w:val="20"/>
                              </w:rPr>
                            </w:r>
                          </w:p>
                          <w:p>
                            <w:pPr>
                              <w:pStyle w:val="FrameContents"/>
                              <w:overflowPunct w:val="false"/>
                              <w:bidi w:val="0"/>
                              <w:jc w:val="left"/>
                              <w:rPr>
                                <w:i/>
                                <w:i/>
                                <w:iCs/>
                                <w:color w:val="000000"/>
                                <w:sz w:val="20"/>
                                <w:szCs w:val="20"/>
                              </w:rPr>
                            </w:pPr>
                            <w:r>
                              <w:rPr>
                                <w:i/>
                                <w:iCs/>
                                <w:color w:val="000000"/>
                                <w:sz w:val="20"/>
                                <w:szCs w:val="20"/>
                              </w:rPr>
                            </w:r>
                          </w:p>
                          <w:p>
                            <w:pPr>
                              <w:pStyle w:val="FrameContents"/>
                              <w:overflowPunct w:val="false"/>
                              <w:bidi w:val="0"/>
                              <w:jc w:val="right"/>
                              <w:rPr>
                                <w:color w:val="000000"/>
                              </w:rPr>
                            </w:pPr>
                            <w:r>
                              <w:rPr>
                                <w:color w:val="000000"/>
                              </w:rPr>
                            </w:r>
                          </w:p>
                        </w:txbxContent>
                      </wps:txbx>
                      <wps:bodyPr lIns="0" rIns="0" tIns="0" bIns="0">
                        <a:spAutoFit/>
                      </wps:bodyPr>
                    </wps:wsp>
                  </a:graphicData>
                </a:graphic>
              </wp:anchor>
            </w:drawing>
          </mc:Choice>
          <mc:Fallback>
            <w:pict>
              <v:rect id="shape_0" ID="Shape1" stroked="f" style="position:absolute;margin-left:1.2pt;margin-top:0.2pt;width:190.55pt;height:82.95pt">
                <w10:wrap type="square"/>
                <v:fill o:detectmouseclick="t" on="false"/>
                <v:stroke color="#3465a4" joinstyle="round" endcap="flat"/>
                <v:textbox>
                  <w:txbxContent>
                    <w:p>
                      <w:pPr>
                        <w:pStyle w:val="FrameContents"/>
                        <w:overflowPunct w:val="false"/>
                        <w:bidi w:val="0"/>
                        <w:jc w:val="left"/>
                        <w:rPr>
                          <w:i/>
                          <w:i/>
                          <w:iCs/>
                          <w:color w:val="000000"/>
                          <w:sz w:val="20"/>
                          <w:szCs w:val="20"/>
                        </w:rPr>
                      </w:pPr>
                      <w:r>
                        <w:rPr>
                          <w:i/>
                          <w:iCs/>
                          <w:color w:val="000000"/>
                          <w:sz w:val="20"/>
                          <w:szCs w:val="20"/>
                        </w:rPr>
                      </w:r>
                    </w:p>
                    <w:p>
                      <w:pPr>
                        <w:pStyle w:val="FrameContents"/>
                        <w:overflowPunct w:val="false"/>
                        <w:bidi w:val="0"/>
                        <w:jc w:val="left"/>
                        <w:rPr>
                          <w:i/>
                          <w:i/>
                          <w:iCs/>
                          <w:color w:val="000000"/>
                          <w:sz w:val="20"/>
                          <w:szCs w:val="20"/>
                        </w:rPr>
                      </w:pPr>
                      <w:r>
                        <w:rPr>
                          <w:i/>
                          <w:iCs/>
                          <w:color w:val="000000"/>
                          <w:sz w:val="20"/>
                          <w:szCs w:val="20"/>
                        </w:rPr>
                      </w:r>
                    </w:p>
                    <w:p>
                      <w:pPr>
                        <w:pStyle w:val="FrameContents"/>
                        <w:overflowPunct w:val="false"/>
                        <w:bidi w:val="0"/>
                        <w:jc w:val="left"/>
                        <w:rPr>
                          <w:i/>
                          <w:i/>
                          <w:iCs/>
                          <w:color w:val="000000"/>
                          <w:sz w:val="20"/>
                          <w:szCs w:val="20"/>
                        </w:rPr>
                      </w:pPr>
                      <w:r>
                        <w:rPr>
                          <w:i/>
                          <w:iCs/>
                          <w:color w:val="000000"/>
                          <w:sz w:val="20"/>
                          <w:szCs w:val="20"/>
                        </w:rPr>
                      </w:r>
                    </w:p>
                    <w:p>
                      <w:pPr>
                        <w:pStyle w:val="FrameContents"/>
                        <w:overflowPunct w:val="false"/>
                        <w:bidi w:val="0"/>
                        <w:jc w:val="left"/>
                        <w:rPr>
                          <w:i/>
                          <w:i/>
                          <w:iCs/>
                          <w:color w:val="000000"/>
                          <w:sz w:val="20"/>
                          <w:szCs w:val="20"/>
                        </w:rPr>
                      </w:pPr>
                      <w:r>
                        <w:rPr>
                          <w:i/>
                          <w:iCs/>
                          <w:color w:val="000000"/>
                          <w:sz w:val="20"/>
                          <w:szCs w:val="20"/>
                        </w:rPr>
                      </w:r>
                    </w:p>
                    <w:p>
                      <w:pPr>
                        <w:pStyle w:val="FrameContents"/>
                        <w:overflowPunct w:val="false"/>
                        <w:bidi w:val="0"/>
                        <w:jc w:val="left"/>
                        <w:rPr>
                          <w:i/>
                          <w:i/>
                          <w:iCs/>
                          <w:color w:val="000000"/>
                          <w:sz w:val="20"/>
                          <w:szCs w:val="20"/>
                        </w:rPr>
                      </w:pPr>
                      <w:r>
                        <w:rPr>
                          <w:i/>
                          <w:iCs/>
                          <w:color w:val="000000"/>
                          <w:sz w:val="20"/>
                          <w:szCs w:val="20"/>
                        </w:rPr>
                      </w:r>
                    </w:p>
                    <w:p>
                      <w:pPr>
                        <w:pStyle w:val="FrameContents"/>
                        <w:overflowPunct w:val="false"/>
                        <w:bidi w:val="0"/>
                        <w:jc w:val="left"/>
                        <w:rPr>
                          <w:i/>
                          <w:i/>
                          <w:iCs/>
                          <w:color w:val="000000"/>
                          <w:sz w:val="20"/>
                          <w:szCs w:val="20"/>
                        </w:rPr>
                      </w:pPr>
                      <w:r>
                        <w:rPr>
                          <w:i/>
                          <w:iCs/>
                          <w:color w:val="000000"/>
                          <w:sz w:val="20"/>
                          <w:szCs w:val="20"/>
                        </w:rPr>
                      </w:r>
                    </w:p>
                    <w:p>
                      <w:pPr>
                        <w:pStyle w:val="FrameContents"/>
                        <w:overflowPunct w:val="false"/>
                        <w:bidi w:val="0"/>
                        <w:jc w:val="right"/>
                        <w:rPr>
                          <w:color w:val="000000"/>
                        </w:rPr>
                      </w:pPr>
                      <w:r>
                        <w:rPr>
                          <w:color w:val="000000"/>
                        </w:rPr>
                      </w:r>
                    </w:p>
                  </w:txbxContent>
                </v:textbox>
              </v:rect>
            </w:pict>
          </mc:Fallback>
        </mc:AlternateContent>
      </w:r>
      <w:r>
        <w:rPr>
          <w:sz w:val="22"/>
          <w:szCs w:val="22"/>
        </w:rPr>
        <w:t>Shropshire Council</w:t>
      </w:r>
    </w:p>
    <w:p>
      <w:pPr>
        <w:pStyle w:val="Normal"/>
        <w:rPr/>
      </w:pPr>
      <w:r>
        <w:rPr>
          <w:sz w:val="22"/>
          <w:szCs w:val="22"/>
        </w:rPr>
        <w:t>Planning Policy &amp;Strategy Team,</w:t>
      </w:r>
    </w:p>
    <w:p>
      <w:pPr>
        <w:pStyle w:val="Normal"/>
        <w:rPr/>
      </w:pPr>
      <w:r>
        <w:rPr>
          <w:sz w:val="22"/>
          <w:szCs w:val="22"/>
        </w:rPr>
        <w:t>Shirehall</w:t>
      </w:r>
    </w:p>
    <w:p>
      <w:pPr>
        <w:pStyle w:val="Normal"/>
        <w:rPr/>
      </w:pPr>
      <w:r>
        <w:rPr>
          <w:sz w:val="22"/>
          <w:szCs w:val="22"/>
        </w:rPr>
        <w:t>Abbey Foregate</w:t>
      </w:r>
    </w:p>
    <w:p>
      <w:pPr>
        <w:pStyle w:val="Normal"/>
        <w:rPr/>
      </w:pPr>
      <w:r>
        <w:rPr>
          <w:sz w:val="22"/>
          <w:szCs w:val="22"/>
        </w:rPr>
        <w:t>Shrewsbury</w:t>
      </w:r>
    </w:p>
    <w:p>
      <w:pPr>
        <w:pStyle w:val="Normal"/>
        <w:rPr/>
      </w:pPr>
      <w:r>
        <w:rPr>
          <w:sz w:val="22"/>
          <w:szCs w:val="22"/>
        </w:rPr>
        <w:t>SY2 6ND</w:t>
      </w:r>
    </w:p>
    <w:p>
      <w:pPr>
        <w:pStyle w:val="Normal"/>
        <w:jc w:val="right"/>
        <w:rPr/>
      </w:pPr>
      <w:r>
        <w:rPr>
          <w:sz w:val="22"/>
          <w:szCs w:val="22"/>
        </w:rPr>
        <w:t xml:space="preserve"> </w:t>
      </w:r>
      <w:r>
        <w:rPr>
          <w:sz w:val="22"/>
          <w:szCs w:val="22"/>
        </w:rPr>
        <w:t>Date____________________</w:t>
      </w:r>
    </w:p>
    <w:p>
      <w:pPr>
        <w:pStyle w:val="Normal"/>
        <w:rPr/>
      </w:pPr>
      <w:r>
        <w:rPr>
          <w:sz w:val="22"/>
          <w:szCs w:val="22"/>
        </w:rPr>
        <w:t xml:space="preserve">Dear Sirs, </w:t>
      </w:r>
    </w:p>
    <w:p>
      <w:pPr>
        <w:pStyle w:val="Normal"/>
        <w:jc w:val="center"/>
        <w:rPr/>
      </w:pPr>
      <w:r>
        <w:rPr>
          <w:sz w:val="28"/>
          <w:szCs w:val="28"/>
          <w:u w:val="thick"/>
        </w:rPr>
        <w:t>Shropshire Local Plan Review: Consultation on Preferred Sites November 2018</w:t>
      </w:r>
    </w:p>
    <w:p>
      <w:pPr>
        <w:pStyle w:val="Normal"/>
        <w:jc w:val="center"/>
        <w:rPr/>
      </w:pPr>
      <w:r>
        <w:rPr>
          <w:sz w:val="28"/>
          <w:szCs w:val="28"/>
          <w:u w:val="thick"/>
        </w:rPr>
        <w:t>Church Stretton Place Plan December 2018</w:t>
      </w:r>
    </w:p>
    <w:p>
      <w:pPr>
        <w:pStyle w:val="Normal"/>
        <w:jc w:val="center"/>
        <w:rPr>
          <w:sz w:val="28"/>
          <w:szCs w:val="28"/>
          <w:u w:val="thick"/>
        </w:rPr>
      </w:pPr>
      <w:r>
        <w:rPr>
          <w:sz w:val="28"/>
          <w:szCs w:val="28"/>
          <w:u w:val="thick"/>
        </w:rPr>
      </w:r>
    </w:p>
    <w:p>
      <w:pPr>
        <w:pStyle w:val="Normal"/>
        <w:rPr/>
      </w:pPr>
      <w:r>
        <w:rPr>
          <w:sz w:val="22"/>
          <w:szCs w:val="22"/>
        </w:rPr>
        <w:t xml:space="preserve">This letter is to object in the strongest possible terms to the proposal to include the </w:t>
      </w:r>
      <w:r>
        <w:rPr>
          <w:b/>
          <w:sz w:val="22"/>
          <w:szCs w:val="22"/>
        </w:rPr>
        <w:t>Snatchfields</w:t>
      </w:r>
      <w:r>
        <w:rPr>
          <w:sz w:val="22"/>
          <w:szCs w:val="22"/>
        </w:rPr>
        <w:t xml:space="preserve">  site (CST021) as a Preferred Site for Development. The reasons for this objection are as follows :-</w:t>
      </w:r>
    </w:p>
    <w:p>
      <w:pPr>
        <w:pStyle w:val="Normal"/>
        <w:rPr>
          <w:sz w:val="12"/>
          <w:szCs w:val="12"/>
        </w:rPr>
      </w:pPr>
      <w:r>
        <w:rPr>
          <w:sz w:val="12"/>
          <w:szCs w:val="12"/>
        </w:rPr>
      </w:r>
    </w:p>
    <w:p>
      <w:pPr>
        <w:pStyle w:val="Normal"/>
        <w:rPr/>
      </w:pPr>
      <w:r>
        <w:rPr>
          <w:sz w:val="22"/>
          <w:szCs w:val="22"/>
        </w:rPr>
        <w:t xml:space="preserve">In 2015, the </w:t>
      </w:r>
      <w:r>
        <w:rPr>
          <w:b/>
          <w:sz w:val="22"/>
          <w:szCs w:val="22"/>
        </w:rPr>
        <w:t>Planning Inspector</w:t>
      </w:r>
      <w:r>
        <w:rPr>
          <w:sz w:val="22"/>
          <w:szCs w:val="22"/>
        </w:rPr>
        <w:t xml:space="preserve"> examined SAMDev to check that it “provided an appropriate basis for the planning of the County”. She concluded it did fulfill this purpose subject to a number of modifications. One of these was “</w:t>
      </w:r>
      <w:r>
        <w:rPr>
          <w:b/>
          <w:sz w:val="22"/>
          <w:szCs w:val="22"/>
        </w:rPr>
        <w:t>Delete any preference for development of greenfield land to the east of the A49”.</w:t>
      </w:r>
    </w:p>
    <w:p>
      <w:pPr>
        <w:pStyle w:val="Normal"/>
        <w:rPr>
          <w:b/>
          <w:b/>
          <w:sz w:val="12"/>
          <w:szCs w:val="12"/>
        </w:rPr>
      </w:pPr>
      <w:r>
        <w:rPr>
          <w:b/>
          <w:sz w:val="12"/>
          <w:szCs w:val="12"/>
        </w:rPr>
      </w:r>
    </w:p>
    <w:p>
      <w:pPr>
        <w:pStyle w:val="Normal"/>
        <w:rPr/>
      </w:pPr>
      <w:r>
        <w:rPr>
          <w:sz w:val="22"/>
          <w:szCs w:val="22"/>
        </w:rPr>
        <w:t xml:space="preserve">In 2012, </w:t>
      </w:r>
      <w:r>
        <w:rPr>
          <w:b/>
          <w:sz w:val="22"/>
          <w:szCs w:val="22"/>
        </w:rPr>
        <w:t>Shropshire Council</w:t>
      </w:r>
      <w:r>
        <w:rPr>
          <w:sz w:val="22"/>
          <w:szCs w:val="22"/>
        </w:rPr>
        <w:t xml:space="preserve"> removed Snatchfields from SAMDev after a huge groundswell of opinion from the residents of the town. The reasons included, </w:t>
      </w:r>
    </w:p>
    <w:p>
      <w:pPr>
        <w:pStyle w:val="ListParagraph"/>
        <w:numPr>
          <w:ilvl w:val="0"/>
          <w:numId w:val="1"/>
        </w:numPr>
        <w:rPr/>
      </w:pPr>
      <w:r>
        <w:rPr>
          <w:sz w:val="22"/>
          <w:szCs w:val="22"/>
        </w:rPr>
        <w:t>wrong location (too far from town facilities, shops, school, etc.);</w:t>
      </w:r>
    </w:p>
    <w:p>
      <w:pPr>
        <w:pStyle w:val="ListParagraph"/>
        <w:numPr>
          <w:ilvl w:val="0"/>
          <w:numId w:val="1"/>
        </w:numPr>
        <w:rPr/>
      </w:pPr>
      <w:r>
        <w:rPr>
          <w:sz w:val="22"/>
          <w:szCs w:val="22"/>
        </w:rPr>
        <w:t>flood risk (surface water run off from Snatchfields would increase flood risk to properties lower down) ;</w:t>
      </w:r>
    </w:p>
    <w:p>
      <w:pPr>
        <w:pStyle w:val="ListParagraph"/>
        <w:numPr>
          <w:ilvl w:val="0"/>
          <w:numId w:val="1"/>
        </w:numPr>
        <w:rPr/>
      </w:pPr>
      <w:r>
        <w:rPr>
          <w:sz w:val="22"/>
          <w:szCs w:val="22"/>
        </w:rPr>
        <w:t>vehicle access route would be long and difficult (via Clive Ave, Ragleth Rd &amp; Chelmick Drive);</w:t>
      </w:r>
    </w:p>
    <w:p>
      <w:pPr>
        <w:pStyle w:val="ListParagraph"/>
        <w:numPr>
          <w:ilvl w:val="0"/>
          <w:numId w:val="1"/>
        </w:numPr>
        <w:rPr/>
      </w:pPr>
      <w:r>
        <w:rPr>
          <w:sz w:val="22"/>
          <w:szCs w:val="22"/>
        </w:rPr>
        <w:t>ongoing noise nuisance (the amphitheatre lay of the land is such that noise travels easily across Snatchfields to existing properties, especially those at higher levels.</w:t>
      </w:r>
    </w:p>
    <w:p>
      <w:pPr>
        <w:pStyle w:val="Normal"/>
        <w:rPr>
          <w:b/>
          <w:b/>
          <w:sz w:val="12"/>
          <w:szCs w:val="12"/>
        </w:rPr>
      </w:pPr>
      <w:r>
        <w:rPr>
          <w:b/>
          <w:sz w:val="12"/>
          <w:szCs w:val="12"/>
        </w:rPr>
      </w:r>
    </w:p>
    <w:p>
      <w:pPr>
        <w:pStyle w:val="Normal"/>
        <w:rPr/>
      </w:pPr>
      <w:r>
        <w:rPr>
          <w:sz w:val="22"/>
          <w:szCs w:val="22"/>
        </w:rPr>
        <w:t>In earlier Planning Decisions relating to Snatchfields :-</w:t>
      </w:r>
    </w:p>
    <w:p>
      <w:pPr>
        <w:pStyle w:val="ListParagraph"/>
        <w:numPr>
          <w:ilvl w:val="0"/>
          <w:numId w:val="2"/>
        </w:numPr>
        <w:rPr/>
      </w:pPr>
      <w:r>
        <w:rPr>
          <w:sz w:val="22"/>
          <w:szCs w:val="22"/>
        </w:rPr>
        <w:t xml:space="preserve">The </w:t>
      </w:r>
      <w:r>
        <w:rPr>
          <w:b/>
          <w:sz w:val="22"/>
          <w:szCs w:val="22"/>
        </w:rPr>
        <w:t>Planning Inspector</w:t>
      </w:r>
      <w:r>
        <w:rPr>
          <w:sz w:val="22"/>
          <w:szCs w:val="22"/>
        </w:rPr>
        <w:t xml:space="preserve"> examined an appeal lodged by a developer after Shropshire Council refused his application to build 22 bungalows .  His findings were overwhelmingly against any development on the site.</w:t>
      </w:r>
    </w:p>
    <w:p>
      <w:pPr>
        <w:pStyle w:val="Normal"/>
        <w:rPr>
          <w:sz w:val="12"/>
          <w:szCs w:val="12"/>
        </w:rPr>
      </w:pPr>
      <w:r>
        <w:rPr>
          <w:sz w:val="12"/>
          <w:szCs w:val="12"/>
        </w:rPr>
      </w:r>
    </w:p>
    <w:p>
      <w:pPr>
        <w:pStyle w:val="ListParagraph"/>
        <w:numPr>
          <w:ilvl w:val="0"/>
          <w:numId w:val="2"/>
        </w:numPr>
        <w:rPr/>
      </w:pPr>
      <w:r>
        <w:rPr>
          <w:b/>
          <w:sz w:val="22"/>
          <w:szCs w:val="22"/>
        </w:rPr>
        <w:t>Church Stretton Town Council</w:t>
      </w:r>
      <w:r>
        <w:rPr>
          <w:sz w:val="22"/>
          <w:szCs w:val="22"/>
        </w:rPr>
        <w:t xml:space="preserve"> wrote to South Shropshire Council saying they were worried about </w:t>
      </w:r>
      <w:r>
        <w:rPr>
          <w:b/>
          <w:sz w:val="22"/>
          <w:szCs w:val="22"/>
        </w:rPr>
        <w:t>surface water problems</w:t>
      </w:r>
      <w:r>
        <w:rPr>
          <w:sz w:val="22"/>
          <w:szCs w:val="22"/>
        </w:rPr>
        <w:t xml:space="preserve"> on Snatchfields and the resultant effect on flooding lower down in the town.</w:t>
      </w:r>
    </w:p>
    <w:p>
      <w:pPr>
        <w:pStyle w:val="Normal"/>
        <w:rPr>
          <w:sz w:val="12"/>
          <w:szCs w:val="12"/>
        </w:rPr>
      </w:pPr>
      <w:r>
        <w:rPr>
          <w:sz w:val="12"/>
          <w:szCs w:val="12"/>
        </w:rPr>
      </w:r>
    </w:p>
    <w:p>
      <w:pPr>
        <w:pStyle w:val="ListParagraph"/>
        <w:numPr>
          <w:ilvl w:val="0"/>
          <w:numId w:val="2"/>
        </w:numPr>
        <w:rPr/>
      </w:pPr>
      <w:r>
        <w:rPr>
          <w:b/>
          <w:sz w:val="22"/>
          <w:szCs w:val="22"/>
        </w:rPr>
        <w:t>Shropshire Council</w:t>
      </w:r>
      <w:r>
        <w:rPr>
          <w:sz w:val="22"/>
          <w:szCs w:val="22"/>
        </w:rPr>
        <w:t xml:space="preserve"> commissioned an investigation of Landscape Sensitivity in the area. The findings were entered in SAMDev and included </w:t>
      </w:r>
      <w:r>
        <w:rPr>
          <w:b/>
          <w:sz w:val="22"/>
          <w:szCs w:val="22"/>
        </w:rPr>
        <w:t>“Snatchfields has a very limited capacity for housing”.</w:t>
      </w:r>
    </w:p>
    <w:p>
      <w:pPr>
        <w:pStyle w:val="ListParagraph"/>
        <w:numPr>
          <w:ilvl w:val="0"/>
          <w:numId w:val="0"/>
        </w:numPr>
        <w:ind w:left="1440" w:hanging="0"/>
        <w:rPr>
          <w:b/>
          <w:b/>
          <w:sz w:val="12"/>
          <w:szCs w:val="12"/>
        </w:rPr>
      </w:pPr>
      <w:r>
        <w:rPr>
          <w:b/>
          <w:sz w:val="12"/>
          <w:szCs w:val="12"/>
        </w:rPr>
      </w:r>
    </w:p>
    <w:p>
      <w:pPr>
        <w:pStyle w:val="Normal"/>
        <w:rPr/>
      </w:pPr>
      <w:r>
        <w:rPr>
          <w:b/>
          <w:sz w:val="22"/>
          <w:szCs w:val="22"/>
        </w:rPr>
        <w:t>All of the above concerns are still very relevant today and must not be ignored !</w:t>
      </w:r>
    </w:p>
    <w:p>
      <w:pPr>
        <w:pStyle w:val="Normal"/>
        <w:rPr>
          <w:b/>
          <w:b/>
          <w:sz w:val="12"/>
          <w:szCs w:val="12"/>
        </w:rPr>
      </w:pPr>
      <w:r>
        <w:rPr>
          <w:b/>
          <w:sz w:val="12"/>
          <w:szCs w:val="12"/>
        </w:rPr>
      </w:r>
    </w:p>
    <w:p>
      <w:pPr>
        <w:pStyle w:val="Normal"/>
        <w:rPr/>
      </w:pPr>
      <w:r>
        <w:rPr>
          <w:sz w:val="22"/>
          <w:szCs w:val="22"/>
        </w:rPr>
        <w:t xml:space="preserve">If development is allowed on </w:t>
      </w:r>
      <w:r>
        <w:rPr>
          <w:b/>
          <w:sz w:val="22"/>
          <w:szCs w:val="22"/>
        </w:rPr>
        <w:t>Snatchfields</w:t>
      </w:r>
      <w:r>
        <w:rPr>
          <w:sz w:val="22"/>
          <w:szCs w:val="22"/>
        </w:rPr>
        <w:t xml:space="preserve"> it could be the start of Church Stretton</w:t>
      </w:r>
      <w:bookmarkStart w:id="0" w:name="_GoBack"/>
      <w:bookmarkEnd w:id="0"/>
      <w:r>
        <w:rPr>
          <w:sz w:val="22"/>
          <w:szCs w:val="22"/>
        </w:rPr>
        <w:t xml:space="preserve"> becoming another urban sprawl</w:t>
      </w:r>
      <w:r>
        <w:rPr>
          <w:b/>
          <w:sz w:val="22"/>
          <w:szCs w:val="22"/>
        </w:rPr>
        <w:t xml:space="preserve"> </w:t>
      </w:r>
      <w:r>
        <w:rPr>
          <w:sz w:val="22"/>
          <w:szCs w:val="22"/>
        </w:rPr>
        <w:t xml:space="preserve">and consequently destroying the unique features which attract so many visitors to the town. The town is the centre of the </w:t>
      </w:r>
      <w:r>
        <w:rPr>
          <w:b/>
          <w:sz w:val="22"/>
          <w:szCs w:val="22"/>
        </w:rPr>
        <w:t>Shropshire Hills Area of Outstanding Natural Beauty (AONB).</w:t>
      </w:r>
      <w:r>
        <w:rPr>
          <w:sz w:val="22"/>
          <w:szCs w:val="22"/>
        </w:rPr>
        <w:t xml:space="preserve">  As such, its landscape and natural beauty must be protected and its housing policy adopted in accordance with the National Planning Policy Framework in the same tightly controlled manner as if it was a National Park.  </w:t>
      </w:r>
    </w:p>
    <w:p>
      <w:pPr>
        <w:pStyle w:val="Normal"/>
        <w:rPr>
          <w:sz w:val="12"/>
          <w:szCs w:val="12"/>
        </w:rPr>
      </w:pPr>
      <w:r>
        <w:rPr>
          <w:sz w:val="12"/>
          <w:szCs w:val="12"/>
        </w:rPr>
      </w:r>
    </w:p>
    <w:p>
      <w:pPr>
        <w:pStyle w:val="Normal"/>
        <w:rPr/>
      </w:pPr>
      <w:r>
        <mc:AlternateContent>
          <mc:Choice Requires="wps">
            <w:drawing>
              <wp:anchor behindDoc="0" distT="0" distB="0" distL="0" distR="0" simplePos="0" locked="0" layoutInCell="1" allowOverlap="1" relativeHeight="4">
                <wp:simplePos x="0" y="0"/>
                <wp:positionH relativeFrom="column">
                  <wp:posOffset>106045</wp:posOffset>
                </wp:positionH>
                <wp:positionV relativeFrom="paragraph">
                  <wp:posOffset>276860</wp:posOffset>
                </wp:positionV>
                <wp:extent cx="6287770" cy="693420"/>
                <wp:effectExtent l="0" t="0" r="0" b="0"/>
                <wp:wrapSquare wrapText="bothSides"/>
                <wp:docPr id="5" name="Frame2"/>
                <a:graphic xmlns:a="http://schemas.openxmlformats.org/drawingml/2006/main">
                  <a:graphicData uri="http://schemas.microsoft.com/office/word/2010/wordprocessingShape">
                    <wps:wsp>
                      <wps:cNvSpPr/>
                      <wps:spPr>
                        <a:xfrm>
                          <a:off x="0" y="0"/>
                          <a:ext cx="6287040" cy="692640"/>
                        </a:xfrm>
                        <a:prstGeom prst="rect">
                          <a:avLst/>
                        </a:prstGeom>
                        <a:noFill/>
                        <a:ln w="720">
                          <a:solidFill>
                            <a:srgbClr val="000000"/>
                          </a:solidFill>
                          <a:round/>
                        </a:ln>
                      </wps:spPr>
                      <wps:style>
                        <a:lnRef idx="0"/>
                        <a:fillRef idx="0"/>
                        <a:effectRef idx="0"/>
                        <a:fontRef idx="minor"/>
                      </wps:style>
                      <wps:txbx>
                        <w:txbxContent>
                          <w:p>
                            <w:pPr>
                              <w:pStyle w:val="FrameContents"/>
                              <w:rPr>
                                <w:color w:val="000000"/>
                              </w:rPr>
                            </w:pPr>
                            <w:r>
                              <w:rPr>
                                <w:color w:val="000000"/>
                              </w:rPr>
                            </w:r>
                          </w:p>
                        </w:txbxContent>
                      </wps:txbx>
                      <wps:bodyPr lIns="54000" rIns="54000" tIns="54000" bIns="54000">
                        <a:noAutofit/>
                      </wps:bodyPr>
                    </wps:wsp>
                  </a:graphicData>
                </a:graphic>
              </wp:anchor>
            </w:drawing>
          </mc:Choice>
          <mc:Fallback>
            <w:pict>
              <v:rect id="shape_0" ID="Frame2" stroked="t" style="position:absolute;margin-left:8.35pt;margin-top:21.8pt;width:495pt;height:54.5pt">
                <w10:wrap type="none"/>
                <v:fill o:detectmouseclick="t" on="false"/>
                <v:stroke color="black" weight="720" joinstyle="round" endcap="flat"/>
                <v:textbox>
                  <w:txbxContent>
                    <w:p>
                      <w:pPr>
                        <w:pStyle w:val="FrameContents"/>
                        <w:rPr>
                          <w:color w:val="000000"/>
                        </w:rPr>
                      </w:pPr>
                      <w:r>
                        <w:rPr>
                          <w:color w:val="000000"/>
                        </w:rPr>
                      </w:r>
                    </w:p>
                  </w:txbxContent>
                </v:textbox>
              </v:rect>
            </w:pict>
          </mc:Fallback>
        </mc:AlternateContent>
      </w:r>
      <w:r>
        <w:rPr>
          <w:b/>
          <w:sz w:val="22"/>
          <w:szCs w:val="22"/>
          <w:u w:val="single"/>
        </w:rPr>
        <w:t>Additional Comments</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pPr>
      <w:r>
        <w:rPr>
          <w:sz w:val="22"/>
          <w:szCs w:val="22"/>
        </w:rPr>
        <w:t>Yours Faithfully,</w:t>
      </w:r>
    </w:p>
    <w:p>
      <w:pPr>
        <w:pStyle w:val="Normal"/>
        <w:rPr>
          <w:sz w:val="22"/>
          <w:szCs w:val="22"/>
        </w:rPr>
      </w:pPr>
      <w:r>
        <w:rPr>
          <w:sz w:val="22"/>
          <w:szCs w:val="22"/>
        </w:rPr>
      </w:r>
    </w:p>
    <w:p>
      <w:pPr>
        <w:pStyle w:val="Normal"/>
        <w:rPr>
          <w:sz w:val="22"/>
          <w:szCs w:val="22"/>
        </w:rPr>
      </w:pPr>
      <w:r>
        <w:rPr>
          <w:sz w:val="22"/>
          <w:szCs w:val="22"/>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SimSun" w:cs="Mangal"/>
      <w:color w:val="00000A"/>
      <w:sz w:val="24"/>
      <w:szCs w:val="24"/>
      <w:lang w:val="en-GB" w:eastAsia="zh-CN" w:bidi="hi-IN"/>
    </w:rPr>
  </w:style>
  <w:style w:type="character" w:styleId="ListLabel1">
    <w:name w:val="ListLabel 1"/>
    <w:qFormat/>
    <w:rPr>
      <w:rFonts w:cs="Symbol"/>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qFormat/>
    <w:pPr>
      <w:spacing w:before="0" w:after="0"/>
      <w:ind w:left="720" w:hanging="0"/>
      <w:contextualSpacing/>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LibreOffice/5.3.7.2$Windows_X86_64 LibreOffice_project/6b8ed514a9f8b44d37a1b96673cbbdd077e24059</Application>
  <Pages>1</Pages>
  <Words>416</Words>
  <Characters>2240</Characters>
  <CharactersWithSpaces>2631</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2018-12-31T17:04:55Z</dcterms:created>
  <dc:creator/>
  <dc:description/>
  <dc:language>en-GB</dc:language>
  <cp:lastModifiedBy/>
  <dcterms:modified xsi:type="dcterms:W3CDTF">2018-12-31T18:35:22Z</dcterms:modified>
  <cp:revision>4</cp:revision>
  <dc:subject/>
  <dc:title/>
</cp:coreProperties>
</file>